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112C2BB5"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3025F268">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2C3962">
          <w:headerReference w:type="default" r:id="rId11"/>
          <w:footerReference w:type="default" r:id="rId12"/>
          <w:headerReference w:type="first" r:id="rId13"/>
          <w:pgSz w:w="11906" w:h="16838"/>
          <w:pgMar w:top="2552" w:right="1021" w:bottom="851" w:left="1021" w:header="709" w:footer="544" w:gutter="0"/>
          <w:cols w:space="708"/>
          <w:titlePg/>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396E58">
        <w:rPr>
          <w:b/>
          <w:bCs/>
          <w:sz w:val="28"/>
          <w:u w:val="single"/>
        </w:rPr>
        <w:t>It is normal practice to take up references on shortlisted candidates prior to interview</w:t>
      </w:r>
      <w:r w:rsidRPr="0002727B">
        <w:rPr>
          <w:b/>
          <w:bCs/>
        </w:rPr>
        <w:t>.</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77B3AB00" w14:textId="77777777" w:rsidR="00396E58"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w:t>
      </w:r>
      <w:r w:rsidR="00396E58">
        <w:t>Further information is available in our P</w:t>
      </w:r>
      <w:r w:rsidR="00396E58" w:rsidRPr="006A44E1">
        <w:t>rivacy Notice for Job Applicants</w:t>
      </w:r>
      <w:r w:rsidR="00396E58">
        <w:t xml:space="preserve"> which can be found on our website a</w:t>
      </w:r>
      <w:r w:rsidR="00396E58" w:rsidRPr="001F7DA1">
        <w:t>nd</w:t>
      </w:r>
      <w:r w:rsidR="00396E58" w:rsidRPr="006A44E1">
        <w:t xml:space="preserve"> Data Retention guidelines as per IRMS Toolkit 2019.</w:t>
      </w:r>
    </w:p>
    <w:p w14:paraId="1B7B9063" w14:textId="77777777" w:rsidR="00396E58" w:rsidRDefault="00396E58" w:rsidP="00396E58">
      <w:pPr>
        <w:pStyle w:val="EPMTextstyle"/>
        <w:ind w:left="709"/>
      </w:pPr>
      <w:r>
        <w:t xml:space="preserve">The person responsible for Data Protection in our organisation is Mrs M Perrins and you can contact them with any questions relating to our handling of your data at </w:t>
      </w:r>
      <w:proofErr w:type="spellStart"/>
      <w:r>
        <w:t>Walmley</w:t>
      </w:r>
      <w:proofErr w:type="spellEnd"/>
      <w:r>
        <w:t xml:space="preserve"> Junior School, on 0121 351 1346 or </w:t>
      </w:r>
      <w:r w:rsidRPr="006A44E1">
        <w:t>enquiry@walmley-jun.bham.sch.uk</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bookmarkStart w:id="0" w:name="_GoBack"/>
      <w:bookmarkEnd w:id="0"/>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rial"/>
    <w:charset w:val="00"/>
    <w:family w:val="swiss"/>
    <w:pitch w:val="variable"/>
    <w:sig w:usb0="00000001"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38D61D3"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396E58">
          <w:rPr>
            <w:rStyle w:val="PageNumber"/>
            <w:rFonts w:cs="Arial"/>
            <w:noProof/>
            <w:sz w:val="16"/>
            <w:szCs w:val="16"/>
          </w:rPr>
          <w:t>10</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94D14F6"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396E58">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D917" w14:textId="500A2895" w:rsidR="002C3962" w:rsidRDefault="002C3962" w:rsidP="002C3962">
    <w:pPr>
      <w:pStyle w:val="Header"/>
      <w:tabs>
        <w:tab w:val="clear" w:pos="4513"/>
        <w:tab w:val="clear" w:pos="9026"/>
        <w:tab w:val="left" w:pos="4050"/>
      </w:tabs>
    </w:pPr>
    <w:r>
      <w:tab/>
      <w:t xml:space="preserve">                               </w:t>
    </w:r>
    <w:r>
      <w:t xml:space="preserve">      </w:t>
    </w:r>
    <w:r>
      <w:t xml:space="preserve">                          </w:t>
    </w:r>
  </w:p>
  <w:p w14:paraId="7D12B71F" w14:textId="77FEB7E7" w:rsidR="002C3962" w:rsidRDefault="002C3962" w:rsidP="002C3962">
    <w:pPr>
      <w:pStyle w:val="Header"/>
      <w:tabs>
        <w:tab w:val="clear" w:pos="4513"/>
        <w:tab w:val="clear" w:pos="9026"/>
        <w:tab w:val="left" w:pos="4050"/>
      </w:tabs>
    </w:pPr>
    <w:r>
      <w:tab/>
      <w:t xml:space="preserve">                                                         </w:t>
    </w:r>
  </w:p>
  <w:p w14:paraId="7560FF65" w14:textId="77777777" w:rsidR="002C3962" w:rsidRDefault="002C39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5928" w14:textId="1EDA060E" w:rsidR="002C3962" w:rsidRDefault="002C3962" w:rsidP="002C3962">
    <w:pPr>
      <w:pStyle w:val="Header"/>
      <w:tabs>
        <w:tab w:val="clear" w:pos="4513"/>
        <w:tab w:val="clear" w:pos="9026"/>
        <w:tab w:val="left" w:pos="3777"/>
      </w:tabs>
    </w:pPr>
    <w:r>
      <w:rPr>
        <w:noProof/>
        <w:lang w:eastAsia="en-GB"/>
      </w:rPr>
      <w:drawing>
        <wp:inline distT="0" distB="0" distL="0" distR="0" wp14:anchorId="409AFB24" wp14:editId="4DD9EC40">
          <wp:extent cx="1341120" cy="75285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mley Junior 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752856"/>
                  </a:xfrm>
                  <a:prstGeom prst="rect">
                    <a:avLst/>
                  </a:prstGeom>
                </pic:spPr>
              </pic:pic>
            </a:graphicData>
          </a:graphic>
        </wp:inline>
      </w:drawing>
    </w:r>
    <w:r>
      <w:tab/>
      <w:t xml:space="preserve">                                                          </w:t>
    </w:r>
    <w:r>
      <w:rPr>
        <w:noProof/>
        <w:lang w:eastAsia="en-GB"/>
      </w:rPr>
      <w:drawing>
        <wp:inline distT="0" distB="0" distL="0" distR="0" wp14:anchorId="72845867" wp14:editId="6BF7EB75">
          <wp:extent cx="1341120" cy="7528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mley Junior 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7528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962"/>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96E58"/>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rial"/>
    <w:charset w:val="00"/>
    <w:family w:val="swiss"/>
    <w:pitch w:val="variable"/>
    <w:sig w:usb0="00000001"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f9f9d8f7-6499-4d85-a3d1-c325ea0d3e5f"/>
    <ds:schemaRef ds:uri="http://www.w3.org/XML/1998/namespace"/>
    <ds:schemaRef ds:uri="http://purl.org/dc/dcmitype/"/>
    <ds:schemaRef ds:uri="http://schemas.microsoft.com/office/2006/documentManagement/types"/>
    <ds:schemaRef ds:uri="abbcacea-263c-4f06-8331-ad7cfe2bb525"/>
    <ds:schemaRef ds:uri="http://purl.org/dc/elements/1.1/"/>
    <ds:schemaRef ds:uri="http://purl.org/dc/terms/"/>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4D744-F2D3-4607-A6D1-371FA22B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E4D8165B.dotm</Template>
  <TotalTime>0</TotalTime>
  <Pages>14</Pages>
  <Words>2180</Words>
  <Characters>12430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Mrs M Perrins</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